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EB40" w14:textId="311C46FB" w:rsidR="00B23F46" w:rsidRPr="00B23F46" w:rsidRDefault="00B23F46" w:rsidP="00B23F46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="0008684D">
        <w:rPr>
          <w:kern w:val="0"/>
          <w:szCs w:val="28"/>
          <w:lang w:eastAsia="en-US"/>
        </w:rPr>
        <w:t>14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08684D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08684D">
        <w:rPr>
          <w:color w:val="000000"/>
          <w:kern w:val="0"/>
          <w:szCs w:val="28"/>
          <w:lang w:eastAsia="en-US"/>
        </w:rPr>
        <w:t>07</w:t>
      </w:r>
      <w:r w:rsidRPr="00CB07F5">
        <w:rPr>
          <w:color w:val="000000"/>
          <w:kern w:val="0"/>
          <w:szCs w:val="28"/>
          <w:lang w:eastAsia="en-US"/>
        </w:rPr>
        <w:t xml:space="preserve"> октября 202</w:t>
      </w:r>
      <w:r w:rsidR="0008684D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</w:t>
      </w:r>
      <w:r>
        <w:rPr>
          <w:color w:val="000000"/>
          <w:kern w:val="0"/>
          <w:szCs w:val="28"/>
          <w:lang w:eastAsia="en-US"/>
        </w:rPr>
        <w:t>ода</w:t>
      </w:r>
    </w:p>
    <w:p w14:paraId="48C5EDF3" w14:textId="77777777" w:rsidR="00B23F46" w:rsidRPr="00CB07F5" w:rsidRDefault="00B23F46" w:rsidP="00B23F46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6932"/>
      </w:tblGrid>
      <w:tr w:rsidR="00B23F46" w:rsidRPr="00CB07F5" w14:paraId="6EF466B5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65ADE" w14:textId="77777777"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8DD73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14:paraId="630D359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15171B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42946" w14:textId="77777777" w:rsidR="00B23F46" w:rsidRPr="00CB07F5" w:rsidRDefault="00B23F46" w:rsidP="008476F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франшиз предпринимателей.</w:t>
            </w:r>
          </w:p>
          <w:p w14:paraId="33501A54" w14:textId="77777777" w:rsidR="00B23F46" w:rsidRPr="00CB07F5" w:rsidRDefault="00B23F46" w:rsidP="008476F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 целью оказания услуг субъектам МСП Исполнитель осуществляет:</w:t>
            </w:r>
          </w:p>
          <w:p w14:paraId="230ECF53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Аудит бизнеса;</w:t>
            </w:r>
          </w:p>
          <w:p w14:paraId="0A346F95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Анализ конкурентов;</w:t>
            </w:r>
          </w:p>
          <w:p w14:paraId="18A96519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Анализ рынка франчайзинга в нише </w:t>
            </w:r>
          </w:p>
          <w:p w14:paraId="35982BE0" w14:textId="77777777" w:rsidR="00B23F46" w:rsidRPr="00CB07F5" w:rsidRDefault="00B23F46" w:rsidP="008476F6">
            <w:pPr>
              <w:tabs>
                <w:tab w:val="left" w:pos="281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регионам;</w:t>
            </w:r>
          </w:p>
          <w:p w14:paraId="29D80844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целевой аудитории на покупку франшизы;</w:t>
            </w:r>
          </w:p>
          <w:p w14:paraId="5FC1F503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целевой аудитории на продукт;</w:t>
            </w:r>
          </w:p>
          <w:p w14:paraId="2EE16BE7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план график проекта;</w:t>
            </w:r>
          </w:p>
          <w:p w14:paraId="18F54168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пакетов франшизы;</w:t>
            </w:r>
          </w:p>
          <w:p w14:paraId="13DAE702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Проработка взаимодействия с франчайзи и </w:t>
            </w:r>
          </w:p>
          <w:p w14:paraId="4FDD025B" w14:textId="77777777" w:rsidR="00B23F46" w:rsidRPr="00CB07F5" w:rsidRDefault="00B23F46" w:rsidP="008476F6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этапы работы;</w:t>
            </w:r>
          </w:p>
          <w:p w14:paraId="6CB03399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стоимости франшизы;</w:t>
            </w:r>
          </w:p>
          <w:p w14:paraId="3EB86CEB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дополнительных источников</w:t>
            </w:r>
          </w:p>
          <w:p w14:paraId="4437426C" w14:textId="77777777" w:rsidR="00B23F46" w:rsidRPr="00CB07F5" w:rsidRDefault="00B23F46" w:rsidP="008476F6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заработка с франчайзинга;</w:t>
            </w:r>
          </w:p>
          <w:p w14:paraId="16FBF4EA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финансовой модели бизнеса;</w:t>
            </w:r>
          </w:p>
          <w:p w14:paraId="5AEF7A04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смысловых единиц бизнеса;</w:t>
            </w:r>
          </w:p>
          <w:p w14:paraId="3028D075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Проработка фирменного стиля компании;</w:t>
            </w:r>
          </w:p>
          <w:p w14:paraId="28D1ECA6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Формирование уникального торгового предложения;</w:t>
            </w:r>
          </w:p>
          <w:p w14:paraId="18707579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Разработка </w:t>
            </w:r>
            <w:proofErr w:type="spellStart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Brandbook</w:t>
            </w:r>
            <w:proofErr w:type="spellEnd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2D575C47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продающей презентации;</w:t>
            </w:r>
          </w:p>
          <w:p w14:paraId="0B7BE7EA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Разработка продающей </w:t>
            </w:r>
            <w:proofErr w:type="spellStart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landing</w:t>
            </w:r>
            <w:proofErr w:type="spellEnd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page</w:t>
            </w:r>
            <w:proofErr w:type="spellEnd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2B7CA080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Анализ и определение рекламных каналов;</w:t>
            </w:r>
          </w:p>
          <w:p w14:paraId="67261395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Составление списка площадок для коммуникации;</w:t>
            </w:r>
          </w:p>
          <w:p w14:paraId="3ACA271A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Утверждение бюджета на рекламу;</w:t>
            </w:r>
          </w:p>
          <w:p w14:paraId="784AE077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Изготовление рекламных материалов;</w:t>
            </w:r>
          </w:p>
          <w:p w14:paraId="6B923521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Запуск рекламной кампании.</w:t>
            </w:r>
          </w:p>
        </w:tc>
      </w:tr>
      <w:tr w:rsidR="00B23F46" w:rsidRPr="00CB07F5" w14:paraId="6AA0F3EF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DAC6A" w14:textId="77777777"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C07B8" w14:textId="223BD1ED" w:rsidR="00B23F46" w:rsidRPr="00CB07F5" w:rsidRDefault="00B23F46" w:rsidP="0008684D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До </w:t>
            </w:r>
            <w:r w:rsidR="002E01DC">
              <w:rPr>
                <w:color w:val="000000"/>
                <w:kern w:val="0"/>
                <w:sz w:val="24"/>
                <w:szCs w:val="22"/>
                <w:lang w:val="en-US" w:eastAsia="en-US"/>
              </w:rPr>
              <w:t>1</w:t>
            </w:r>
            <w:bookmarkStart w:id="0" w:name="_GoBack"/>
            <w:bookmarkEnd w:id="0"/>
            <w:r>
              <w:rPr>
                <w:color w:val="000000"/>
                <w:kern w:val="0"/>
                <w:sz w:val="24"/>
                <w:szCs w:val="22"/>
                <w:lang w:eastAsia="en-US"/>
              </w:rPr>
              <w:t>5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декабря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 w:rsidR="0008684D"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B23F46" w:rsidRPr="00CB07F5" w14:paraId="61281FE1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BB0CB7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389BF" w14:textId="77777777"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14:paraId="76A6E09C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BDD1E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EB4B1" w14:textId="77777777"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</w:p>
        </w:tc>
      </w:tr>
      <w:tr w:rsidR="00B23F46" w:rsidRPr="00CB07F5" w14:paraId="5D4E14EE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3B9AE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F72F89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1DE78731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563A3645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1240DC3F" w14:textId="77777777" w:rsidR="00B23F46" w:rsidRPr="00CB07F5" w:rsidRDefault="00B23F46" w:rsidP="008476F6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B23F46" w:rsidRPr="00CB07F5" w14:paraId="475251C9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5E992" w14:textId="77777777"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5E4A3A" w14:textId="77777777"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14:paraId="2600FAC0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86722" w14:textId="77777777"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95866" w14:textId="64263035" w:rsidR="00B23F46" w:rsidRPr="00CB07F5" w:rsidRDefault="0008684D" w:rsidP="0008684D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07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октября 202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B23F46" w:rsidRPr="00CB07F5" w14:paraId="5112431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06C59" w14:textId="77777777"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694895" w14:textId="17DC889A" w:rsidR="00B23F46" w:rsidRPr="00CB07F5" w:rsidRDefault="0008684D" w:rsidP="00D2508D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D2508D">
              <w:rPr>
                <w:color w:val="000000"/>
                <w:kern w:val="0"/>
                <w:sz w:val="24"/>
                <w:szCs w:val="22"/>
                <w:lang w:eastAsia="en-US"/>
              </w:rPr>
              <w:t>4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октября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44A47D5B" w14:textId="77777777" w:rsidR="00B23F46" w:rsidRPr="00CB07F5" w:rsidRDefault="00B23F46" w:rsidP="00B23F46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569E824" w14:textId="77777777"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 wp14:anchorId="008F125F" wp14:editId="0BC06E74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B658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09DD9AEB" w14:textId="2650A34F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296682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</w:t>
      </w:r>
    </w:p>
    <w:p w14:paraId="2DBAACE9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6D88329F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1D0ADEA5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50C3489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00484863" w14:textId="7E95C9B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00D9E8E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5588AE50" w14:textId="77777777"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77941D88" w14:textId="77777777"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083DEEE2" w14:textId="6D48EDDF"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N </w:t>
      </w:r>
      <w:r w:rsidR="0008684D">
        <w:rPr>
          <w:color w:val="000000"/>
          <w:kern w:val="0"/>
          <w:szCs w:val="28"/>
          <w:lang w:eastAsia="en-US"/>
        </w:rPr>
        <w:t>14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08684D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08684D">
        <w:rPr>
          <w:color w:val="000000"/>
          <w:kern w:val="0"/>
          <w:szCs w:val="28"/>
          <w:lang w:eastAsia="en-US"/>
        </w:rPr>
        <w:t>07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 w:rsidRPr="007956F1">
        <w:rPr>
          <w:color w:val="000000"/>
          <w:kern w:val="0"/>
          <w:szCs w:val="28"/>
          <w:lang w:eastAsia="en-US"/>
        </w:rPr>
        <w:t>октября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 w:rsidR="0008684D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14:paraId="493E8C34" w14:textId="77777777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20CF9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88121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63287A5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59016" w14:textId="77777777"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59D18" w14:textId="77777777" w:rsidR="00B23F46" w:rsidRPr="00CB07F5" w:rsidRDefault="00B23F46" w:rsidP="008476F6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B23F46" w:rsidRPr="00CB07F5" w14:paraId="156A418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AF0B1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A2084E7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75A26" w14:textId="77777777" w:rsidR="00B23F46" w:rsidRPr="00CB07F5" w:rsidRDefault="00B23F46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77E8A25D" w14:textId="77777777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612DE4" w14:textId="77777777"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A46BD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3C0544" w14:textId="77777777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9C498" w14:textId="77777777"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7C9F8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25B5C656" w14:textId="77777777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2B0D5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66BEE2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5A245004" w14:textId="77777777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8689BD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EEFDA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2F7615" w14:textId="77777777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1E90C8" w14:textId="77777777"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50EA4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55B44A31" w14:textId="53685E47" w:rsidR="00B23F46" w:rsidRPr="00CB07F5" w:rsidRDefault="00B23F46" w:rsidP="00296682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</w:p>
    <w:sectPr w:rsidR="00B23F46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47"/>
    <w:rsid w:val="0008684D"/>
    <w:rsid w:val="00296682"/>
    <w:rsid w:val="002E01DC"/>
    <w:rsid w:val="00685347"/>
    <w:rsid w:val="00B23F46"/>
    <w:rsid w:val="00D2508D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3C7D"/>
  <w15:chartTrackingRefBased/>
  <w15:docId w15:val="{9CEB0944-7C40-492A-9E28-51B8156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4</cp:revision>
  <dcterms:created xsi:type="dcterms:W3CDTF">2021-10-06T11:48:00Z</dcterms:created>
  <dcterms:modified xsi:type="dcterms:W3CDTF">2021-12-03T06:15:00Z</dcterms:modified>
</cp:coreProperties>
</file>