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4"/>
        </w:rPr>
        <w:t xml:space="preserve">Приложение № 3</w:t>
        <w:br/>
        <w:t xml:space="preserve">к </w:t>
      </w:r>
      <w:hyperlink r:id="rId11" w:tooltip="https://internet.garant.ru/#/document/413247309/entry/0" w:history="1">
        <w:r>
          <w:rPr>
            <w:rStyle w:val="891"/>
            <w:rFonts w:ascii="PT Serif" w:hAnsi="PT Serif" w:eastAsia="PT Serif" w:cs="PT Serif"/>
            <w:color w:val="3272c0"/>
            <w:sz w:val="24"/>
            <w:u w:val="none"/>
          </w:rPr>
          <w:t xml:space="preserve">постановлению</w:t>
        </w:r>
      </w:hyperlink>
      <w:r>
        <w:rPr>
          <w:rFonts w:ascii="PT Serif" w:hAnsi="PT Serif" w:eastAsia="PT Serif" w:cs="PT Serif"/>
          <w:color w:val="22272f"/>
          <w:sz w:val="24"/>
        </w:rPr>
        <w:t xml:space="preserve"> Кабинета</w:t>
        <w:br/>
        <w:t xml:space="preserve">Министров Республики Адыгея</w:t>
        <w:br/>
        <w:t xml:space="preserve">от 10 декабря 2025 года № 179</w:t>
      </w:r>
      <w:r/>
    </w:p>
    <w:p>
      <w:pPr>
        <w:ind w:left="0" w:right="0" w:firstLine="0"/>
        <w:jc w:val="center"/>
        <w:shd w:val="clear" w:color="ffffff" w:fill="ffffff"/>
        <w:rPr>
          <w:rFonts w:ascii="PT Serif" w:hAnsi="PT Serif" w:eastAsia="PT Serif" w:cs="PT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highlight w:val="none"/>
        </w:rPr>
      </w:r>
      <w:r>
        <w:rPr>
          <w:rFonts w:ascii="PT Serif" w:hAnsi="PT Serif" w:eastAsia="PT Serif" w:cs="PT Serif"/>
          <w:color w:val="22272f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PT Serif" w:hAnsi="PT Serif" w:eastAsia="PT Serif" w:cs="PT Serif"/>
          <w:color w:val="22272f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highlight w:val="none"/>
        </w:rPr>
      </w:r>
      <w:r>
        <w:rPr>
          <w:rFonts w:ascii="PT Serif" w:hAnsi="PT Serif" w:eastAsia="PT Serif" w:cs="PT Serif"/>
          <w:color w:val="22272f"/>
          <w:highlight w:val="none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Порядок</w:t>
        <w:br/>
        <w:t xml:space="preserve">подтверждения соответствия физических лиц, юридических лиц и индивидуальных предпринимателей критериям отнесения к субъектам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креативных 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(творческих) индустрий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2272f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1. Настоящий Порядок устанавливает правила подтверждения соответствия физических лиц, юридических лиц и индивидуальных предпринимателей критериям отнесения к субъектам (творческих) креативных индустрий, осуществляющих деятельность в Республике Адыгея (дале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е соответственно - Критерии, креативные индустрии).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2. Подтверждение соответствия физических лиц, юридических лиц и индивидуальных предпринимателей Критериям осуществляет уполномоченный орган.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3. Для подтверждения соответствия Критериям физическое лицо, юридическое лицо, индивидуальный предприниматель, претендующие на признание субъектом креативной индустрии в Республике Адыгея (далее - заявитель), направляют в уполномоченный орган заявление на 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подтверждение соответствия Критериям (далее - заявление) и прилагаемые к нему документы.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4. Заявление и прилагаемые к нему документы, указанное в </w:t>
      </w:r>
      <w:hyperlink r:id="rId12" w:tooltip="https://internet.garant.ru/#/document/413247309/entry/53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пункте 5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настоящего Порядка, принимаются уполномоченным органом при поступлении в электронной форме с использованием усиленной </w:t>
      </w:r>
      <w:hyperlink r:id="rId13" w:tooltip="https://internet.garant.ru/#/document/12184522/entry/54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квалифицированной электронной подписи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, на бумажном носителе путем личного обращения заявителя или посредством почтового отправления.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5. Форма заявления и перечень прилагаемых к нему документов, требования к составу и порядку их оформления устанавливаются уполномоченным органом и размещаются на </w:t>
      </w:r>
      <w:hyperlink r:id="rId14" w:tooltip="http://www.adygheya.ru/ministers/departments/ministerstvo-ekonomicheskogo-razvitiya-i-torgovli/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Интернет-странице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уполномоченного органа </w:t>
      </w:r>
      <w:hyperlink r:id="rId15" w:tooltip="http://www.adygheya.ru/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официального Интернет-сайта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органов исполнительной власти Республики Адыгея.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6. Заявление регистрируется уполномоченным органом в срок не позднее рабочего дня, следующего за днем его получения.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7. Уполномоченный орган рассматривает заявление и прилагаемые к нему документы на предмет соответствия требованиям к комплектности и оформлению, а также наличию недостоверных и (или) противоречивых сведений в срок не позднее пяти рабочих дней со дня регист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рации принимает решение о принятии заявления к рассмотрению или об отказе в принятии заявления к рассмотрению.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8. Основаниями для отказа в принятии заявления к рассмотрению: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1) несоответствие заявления и прилагаемых к нему документов требованиям к комплектности и (или) оформлению;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2) наличие в заявлении и прилагаемых к нему документах недостоверных и (или) противоречивых сведений.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9. Уполномоченный орган уведомляет заявителя о принятии заявления к рассмотрению в срок не позднее двух рабочих дней, следующих за днем принятия такого 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10. В случае принятия решения об отказе в рассмотрении заявления уполномоченный орган в срок не позднее двух рабочих дней, следующих за днем принятия такого решения, направляет заявителю уведомление о принятом решении с указанием причин отказа. В случае по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лучения уведомления об отказе в принятии к рассмотрению заявления заявитель вправе повторно подать заявление.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11. В случае принятия решения о принятии заявления к рассмотрению уполномоченный орган в срок не позднее пяти рабочих дней со дня принятия решения о принятии заявления к рассмотрению проводит проверку соответствия заявителя Критериям и принимает решение: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1) признать заявителя субъектом креативных (творческих) индустрий;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2) отказать заявителю в признании субъектом креативных (творческих) индустрий.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12. Основанием для отказа в признании заявителя субъектом креативных (творческих) индустрий является его несоответствие Критериям отнесения физических лиц, юридических лиц и индивидуальных предпринимателей к субъектам креативных (творческих) индустрий, уст</w:t>
      </w: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ановленных Кабинетом Министров Республики Адыгея.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13. В случае принятия решения, предусмотренного </w:t>
      </w:r>
      <w:hyperlink r:id="rId16" w:tooltip="https://internet.garant.ru/#/document/413247309/entry/62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подпунктом 1 пункта 11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настоящего Порядка, уполномоченный орган в срок не позднее двух рабочих дней, следующих за днем принятия указанного решения, направляет заявителю уведомление о принятом решении.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14. В случае принятия решения, предусмотренного </w:t>
      </w:r>
      <w:hyperlink r:id="rId17" w:tooltip="https://internet.garant.ru/#/document/413247309/entry/63" w:history="1">
        <w:r>
          <w:rPr>
            <w:rStyle w:val="891"/>
            <w:rFonts w:ascii="Times New Roman" w:hAnsi="Times New Roman" w:eastAsia="Times New Roman" w:cs="Times New Roman"/>
            <w:color w:val="3272c0"/>
            <w:sz w:val="28"/>
            <w:szCs w:val="28"/>
            <w:u w:val="none"/>
          </w:rPr>
          <w:t xml:space="preserve">подпунктом 2 пункта 11</w:t>
        </w:r>
      </w:hyperlink>
      <w:r>
        <w:rPr>
          <w:rFonts w:ascii="Times New Roman" w:hAnsi="Times New Roman" w:eastAsia="Times New Roman" w:cs="Times New Roman"/>
          <w:color w:val="22272f"/>
          <w:sz w:val="28"/>
          <w:szCs w:val="28"/>
        </w:rPr>
        <w:t xml:space="preserve"> настоящего Порядка, уполномоченный орган в срок не позднее двух рабочих дней, следующих за днем принятия решения, направляет заявителю уведомление о принятом решении с указанием причин, послуживших основанием для принятия такого 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continuous"/>
      <w:pgSz w:w="11913" w:h="16834" w:orient="portrait"/>
      <w:pgMar w:top="709" w:right="1134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PT Serif">
    <w:panose1 w:val="020A0603040505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Tms Rmn">
    <w:panose1 w:val="02000603000000000000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889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8"/>
        <w:highlight w:val="whit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ms Rmn" w:hAnsi="Tms Rm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7"/>
    <w:link w:val="865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7"/>
    <w:link w:val="866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7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7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7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4"/>
    <w:next w:val="864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4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4"/>
    <w:next w:val="864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7"/>
    <w:link w:val="710"/>
    <w:uiPriority w:val="10"/>
    <w:rPr>
      <w:sz w:val="48"/>
      <w:szCs w:val="48"/>
    </w:rPr>
  </w:style>
  <w:style w:type="paragraph" w:styleId="712">
    <w:name w:val="Subtitle"/>
    <w:basedOn w:val="864"/>
    <w:next w:val="864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7"/>
    <w:link w:val="712"/>
    <w:uiPriority w:val="11"/>
    <w:rPr>
      <w:sz w:val="24"/>
      <w:szCs w:val="24"/>
    </w:rPr>
  </w:style>
  <w:style w:type="paragraph" w:styleId="714">
    <w:name w:val="Quote"/>
    <w:basedOn w:val="864"/>
    <w:next w:val="864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4"/>
    <w:next w:val="864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7"/>
    <w:link w:val="887"/>
    <w:uiPriority w:val="99"/>
  </w:style>
  <w:style w:type="character" w:styleId="719">
    <w:name w:val="Footer Char"/>
    <w:basedOn w:val="867"/>
    <w:link w:val="889"/>
    <w:uiPriority w:val="99"/>
  </w:style>
  <w:style w:type="paragraph" w:styleId="720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889"/>
    <w:uiPriority w:val="99"/>
  </w:style>
  <w:style w:type="table" w:styleId="722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1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2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3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4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5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6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7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7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rPr>
      <w:rFonts w:ascii="Times New Roman" w:hAnsi="Times New Roman"/>
    </w:rPr>
  </w:style>
  <w:style w:type="paragraph" w:styleId="865">
    <w:name w:val="Heading 1"/>
    <w:basedOn w:val="864"/>
    <w:next w:val="864"/>
    <w:qFormat/>
    <w:pPr>
      <w:jc w:val="center"/>
      <w:keepNext/>
      <w:spacing w:line="360" w:lineRule="atLeast"/>
      <w:outlineLvl w:val="0"/>
    </w:pPr>
    <w:rPr>
      <w:b/>
      <w:sz w:val="28"/>
    </w:rPr>
  </w:style>
  <w:style w:type="paragraph" w:styleId="866">
    <w:name w:val="Heading 2"/>
    <w:basedOn w:val="864"/>
    <w:next w:val="864"/>
    <w:qFormat/>
    <w:pPr>
      <w:ind w:left="60" w:firstLine="720"/>
      <w:jc w:val="center"/>
      <w:keepNext/>
      <w:widowControl w:val="off"/>
      <w:outlineLvl w:val="1"/>
    </w:pPr>
    <w:rPr>
      <w:i/>
      <w:sz w:val="28"/>
    </w:r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Body Text Indent"/>
    <w:basedOn w:val="864"/>
    <w:link w:val="885"/>
    <w:pPr>
      <w:ind w:firstLine="720"/>
      <w:jc w:val="both"/>
    </w:pPr>
    <w:rPr>
      <w:sz w:val="28"/>
    </w:rPr>
  </w:style>
  <w:style w:type="paragraph" w:styleId="871">
    <w:name w:val="Block Text"/>
    <w:basedOn w:val="864"/>
    <w:pPr>
      <w:ind w:left="560" w:right="520" w:firstLine="720"/>
      <w:jc w:val="center"/>
      <w:spacing w:line="240" w:lineRule="exact"/>
      <w:widowControl w:val="off"/>
    </w:pPr>
    <w:rPr>
      <w:b/>
      <w:sz w:val="28"/>
    </w:rPr>
  </w:style>
  <w:style w:type="paragraph" w:styleId="872">
    <w:name w:val="Body Text"/>
    <w:basedOn w:val="864"/>
    <w:rPr>
      <w:sz w:val="28"/>
    </w:rPr>
  </w:style>
  <w:style w:type="paragraph" w:styleId="873">
    <w:name w:val="Balloon Text"/>
    <w:basedOn w:val="864"/>
    <w:semiHidden/>
    <w:rPr>
      <w:rFonts w:ascii="Tahoma" w:hAnsi="Tahoma" w:cs="Tahoma"/>
      <w:sz w:val="16"/>
      <w:szCs w:val="16"/>
    </w:rPr>
  </w:style>
  <w:style w:type="paragraph" w:styleId="874" w:customStyle="1">
    <w:name w:val="Style1"/>
    <w:basedOn w:val="864"/>
    <w:uiPriority w:val="99"/>
    <w:pPr>
      <w:spacing w:line="326" w:lineRule="exact"/>
      <w:widowControl w:val="off"/>
    </w:pPr>
    <w:rPr>
      <w:sz w:val="24"/>
      <w:szCs w:val="24"/>
    </w:rPr>
  </w:style>
  <w:style w:type="paragraph" w:styleId="875" w:customStyle="1">
    <w:name w:val="Style2"/>
    <w:basedOn w:val="864"/>
    <w:uiPriority w:val="99"/>
    <w:pPr>
      <w:ind w:firstLine="715"/>
      <w:jc w:val="both"/>
      <w:spacing w:line="326" w:lineRule="exact"/>
      <w:widowControl w:val="off"/>
    </w:pPr>
    <w:rPr>
      <w:sz w:val="24"/>
      <w:szCs w:val="24"/>
    </w:rPr>
  </w:style>
  <w:style w:type="paragraph" w:styleId="876" w:customStyle="1">
    <w:name w:val="Style4"/>
    <w:basedOn w:val="864"/>
    <w:uiPriority w:val="99"/>
    <w:pPr>
      <w:widowControl w:val="off"/>
    </w:pPr>
    <w:rPr>
      <w:sz w:val="24"/>
      <w:szCs w:val="24"/>
    </w:rPr>
  </w:style>
  <w:style w:type="paragraph" w:styleId="877" w:customStyle="1">
    <w:name w:val="Style5"/>
    <w:basedOn w:val="864"/>
    <w:uiPriority w:val="99"/>
    <w:pPr>
      <w:ind w:hanging="672"/>
      <w:spacing w:line="326" w:lineRule="exact"/>
      <w:widowControl w:val="off"/>
    </w:pPr>
    <w:rPr>
      <w:sz w:val="24"/>
      <w:szCs w:val="24"/>
    </w:rPr>
  </w:style>
  <w:style w:type="character" w:styleId="878" w:customStyle="1">
    <w:name w:val="Font Style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879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880" w:customStyle="1">
    <w:name w:val="Font Style13"/>
    <w:uiPriority w:val="99"/>
    <w:rPr>
      <w:rFonts w:ascii="Times New Roman" w:hAnsi="Times New Roman" w:cs="Times New Roman"/>
      <w:sz w:val="28"/>
      <w:szCs w:val="28"/>
    </w:rPr>
  </w:style>
  <w:style w:type="paragraph" w:styleId="881">
    <w:name w:val="Plain Text"/>
    <w:basedOn w:val="864"/>
    <w:link w:val="882"/>
    <w:rPr>
      <w:rFonts w:ascii="Courier New" w:hAnsi="Courier New"/>
    </w:rPr>
  </w:style>
  <w:style w:type="character" w:styleId="882" w:customStyle="1">
    <w:name w:val="Текст Знак"/>
    <w:link w:val="881"/>
    <w:rPr>
      <w:rFonts w:ascii="Courier New" w:hAnsi="Courier New"/>
    </w:rPr>
  </w:style>
  <w:style w:type="paragraph" w:styleId="883" w:customStyle="1">
    <w:name w:val="Style3"/>
    <w:basedOn w:val="864"/>
    <w:uiPriority w:val="99"/>
    <w:pPr>
      <w:widowControl w:val="off"/>
    </w:pPr>
    <w:rPr>
      <w:sz w:val="24"/>
      <w:szCs w:val="24"/>
    </w:rPr>
  </w:style>
  <w:style w:type="paragraph" w:styleId="884">
    <w:name w:val="Normal (Web)"/>
    <w:basedOn w:val="86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85" w:customStyle="1">
    <w:name w:val="Основной текст с отступом Знак"/>
    <w:link w:val="870"/>
    <w:rPr>
      <w:rFonts w:ascii="Times New Roman" w:hAnsi="Times New Roman"/>
      <w:sz w:val="28"/>
    </w:rPr>
  </w:style>
  <w:style w:type="table" w:styleId="886">
    <w:name w:val="Table Grid"/>
    <w:basedOn w:val="86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7">
    <w:name w:val="Header"/>
    <w:basedOn w:val="864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67"/>
    <w:link w:val="887"/>
    <w:uiPriority w:val="99"/>
    <w:rPr>
      <w:rFonts w:ascii="Times New Roman" w:hAnsi="Times New Roman"/>
    </w:rPr>
  </w:style>
  <w:style w:type="paragraph" w:styleId="889">
    <w:name w:val="Footer"/>
    <w:basedOn w:val="864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67"/>
    <w:link w:val="889"/>
    <w:uiPriority w:val="99"/>
    <w:rPr>
      <w:rFonts w:ascii="Times New Roman" w:hAnsi="Times New Roman"/>
    </w:rPr>
  </w:style>
  <w:style w:type="character" w:styleId="891">
    <w:name w:val="Hyperlink"/>
    <w:basedOn w:val="867"/>
    <w:uiPriority w:val="99"/>
    <w:unhideWhenUsed/>
    <w:rPr>
      <w:color w:val="0563c1" w:themeColor="hyperlink"/>
      <w:u w:val="single"/>
    </w:rPr>
  </w:style>
  <w:style w:type="character" w:styleId="892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paragraph" w:styleId="893" w:customStyle="1">
    <w:name w:val="Нормальный (таблица)"/>
    <w:basedOn w:val="724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  <w:style w:type="paragraph" w:styleId="894" w:customStyle="1">
    <w:name w:val="Прижатый влево"/>
    <w:basedOn w:val="72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 CYR" w:hAnsi="Times New Roman CYR" w:eastAsia="Times New Roman CYR" w:cs="Times New Roman CYR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internet.garant.ru/#/document/413247309/entry/0" TargetMode="External"/><Relationship Id="rId12" Type="http://schemas.openxmlformats.org/officeDocument/2006/relationships/hyperlink" Target="https://internet.garant.ru/#/document/413247309/entry/53" TargetMode="External"/><Relationship Id="rId13" Type="http://schemas.openxmlformats.org/officeDocument/2006/relationships/hyperlink" Target="https://internet.garant.ru/#/document/12184522/entry/54" TargetMode="External"/><Relationship Id="rId14" Type="http://schemas.openxmlformats.org/officeDocument/2006/relationships/hyperlink" Target="http://www.adygheya.ru/ministers/departments/ministerstvo-ekonomicheskogo-razvitiya-i-torgovli/" TargetMode="External"/><Relationship Id="rId15" Type="http://schemas.openxmlformats.org/officeDocument/2006/relationships/hyperlink" Target="http://www.adygheya.ru/" TargetMode="External"/><Relationship Id="rId16" Type="http://schemas.openxmlformats.org/officeDocument/2006/relationships/hyperlink" Target="https://internet.garant.ru/#/document/413247309/entry/62" TargetMode="External"/><Relationship Id="rId17" Type="http://schemas.openxmlformats.org/officeDocument/2006/relationships/hyperlink" Target="https://internet.garant.ru/#/document/413247309/entry/6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31BE-36A3-4ED9-A8D6-422354B5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РЕСПУБЛИКЭМИ ПРЕЗИДЕНТРЭ И МИНИСТРЭМЭЯ КАБИНЕТРЭ ЯАДМИНИСТРАЦИЕИIОФХМКIЭ УПРАВЛЕНИЕ</dc:title>
  <dc:creator>Хотов Т.П.</dc:creator>
  <cp:keywords>ИДП</cp:keywords>
  <cp:lastModifiedBy>user</cp:lastModifiedBy>
  <cp:revision>20</cp:revision>
  <dcterms:created xsi:type="dcterms:W3CDTF">2025-05-22T13:32:00Z</dcterms:created>
  <dcterms:modified xsi:type="dcterms:W3CDTF">2026-04-28T07:20:40Z</dcterms:modified>
</cp:coreProperties>
</file>