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_Hlk165015302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Реестр местных производителей товаров брендов Республик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 Адыгея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по линии Министерства сельского хозяйства Республики Адыгея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(на 01.04.2026)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tbl>
      <w:tblPr>
        <w:tblStyle w:val="859"/>
        <w:tblW w:w="14680" w:type="dxa"/>
        <w:tblLook w:val="04A0" w:firstRow="1" w:lastRow="0" w:firstColumn="1" w:lastColumn="0" w:noHBand="0" w:noVBand="1"/>
      </w:tblPr>
      <w:tblGrid>
        <w:gridCol w:w="2090"/>
        <w:gridCol w:w="2709"/>
        <w:gridCol w:w="6182"/>
        <w:gridCol w:w="3700"/>
      </w:tblGrid>
      <w:tr>
        <w:tblPrEx/>
        <w:trPr/>
        <w:tc>
          <w:tcPr>
            <w:tcW w:w="20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Наименование бренда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2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Направления местного производителя товаров брендов Республики Адыгея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61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Краткая характеристика бренда, его качественные и иные характеристики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3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Информационный ресурс бренда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20"/>
        </w:trPr>
        <w:tc>
          <w:tcPr>
            <w:tcW w:w="20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«Адыгейский сыр»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ОАО «Молзавод «Гиагинский»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82" w:type="dxa"/>
            <w:vMerge w:val="restart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Сыр адыгейский отличается от аналогичных мягких сыров тем, что при его производстве используется оригинальный способ осаждения белка, не встречающий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ся в мировой практике изготовления сыров. Особые свойства обусловлены природными факторами, качественным составом сырья, из которого изготавливается сыр, его белково– витаминным составом. Это свежее цельное молоко от коров, пасущихся на пастбищах в предгор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ьях Большого Кавказа, более длительный вегетационный период растений, являющихся основным кормом для коров. Вкус и запах молока обусловлен сочными кормами, представляющими полноценный набор витаминов и микроэлементов. Сыр адыгейский издревле изготовляется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технологии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включающей навыки старых народных сыроделов, основной на знании национальных традиций предков. На стадиях выемки молочного сгустка, формирования сырной массы,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посолки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обсушки используется только ручной труд,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поэтому  людской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фактор играет главенствующую роль в появлении у сыра особых свойств.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www.</w:t>
            </w:r>
            <w:hyperlink r:id="rId9" w:tooltip="https://gmz.su/" w:history="1">
              <w:r>
                <w:rPr>
                  <w:rFonts w:ascii="Times New Roman" w:hAnsi="Times New Roman" w:eastAsia="Times New Roman" w:cs="Times New Roman"/>
                  <w:bCs/>
                  <w:sz w:val="28"/>
                  <w:szCs w:val="28"/>
                </w:rPr>
                <w:t xml:space="preserve">gmz.su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«Тамбовский»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7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www.</w:t>
            </w:r>
            <w:hyperlink r:id="rId10" w:tooltip="https://www.tmbsir.ru/" w:history="1">
              <w:r>
                <w:rPr>
                  <w:rStyle w:val="860"/>
                  <w:rFonts w:ascii="Times New Roman" w:hAnsi="Times New Roman" w:eastAsia="Times New Roman" w:cs="Times New Roman"/>
                  <w:bCs/>
                  <w:sz w:val="28"/>
                  <w:szCs w:val="28"/>
                  <w:shd w:val="clear" w:color="auto" w:fill="ffffff"/>
                </w:rPr>
                <w:t xml:space="preserve">tmbsir.ru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ЗАО «Молкомбинат «Адыгейский»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70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instrText xml:space="preserve"> HYPERLINK "http://molkom-adyg.ru/" \t "_blank" </w:instrTex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www.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0"/>
                <w:rFonts w:ascii="Times New Roman" w:hAnsi="Times New Roman"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molkom-adyg.ru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«Красногвардейский молочный завод»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7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www.</w:t>
            </w:r>
            <w:hyperlink r:id="rId11" w:tooltip="https://kmz01.com/" w:history="1">
              <w:r>
                <w:rPr>
                  <w:rStyle w:val="860"/>
                  <w:rFonts w:ascii="Times New Roman" w:hAnsi="Times New Roman" w:eastAsia="Times New Roman" w:cs="Times New Roman"/>
                  <w:bCs/>
                  <w:sz w:val="28"/>
                  <w:szCs w:val="28"/>
                  <w:shd w:val="clear" w:color="auto" w:fill="ffffff"/>
                </w:rPr>
                <w:t xml:space="preserve">kmz01.com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«Молзавод «Новый»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7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www.</w:t>
            </w:r>
            <w:hyperlink r:id="rId12" w:tooltip="https://novmz.ru/" w:history="1">
              <w:r>
                <w:rPr>
                  <w:rStyle w:val="860"/>
                  <w:rFonts w:ascii="Times New Roman" w:hAnsi="Times New Roman" w:eastAsia="Times New Roman" w:cs="Times New Roman"/>
                  <w:bCs/>
                  <w:sz w:val="28"/>
                  <w:szCs w:val="28"/>
                  <w:shd w:val="clear" w:color="auto" w:fill="ffffff"/>
                </w:rPr>
                <w:t xml:space="preserve">novmz.ru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«Кошехабльский сырзавод»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7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«Адыгейский молочный завод»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7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64"/>
        </w:trPr>
        <w:tc>
          <w:tcPr>
            <w:tcW w:w="20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ИП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Цишев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Ю.Н.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7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ИП Деркачев К.А.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7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«Адыгейский чай»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Адыгейский филиал Федерального государственного бюджетного учреждения науки «Федеральный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исследовательский центр «Субтропический научный центр Российской академии наук»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Чайные растения, из которых получают сырьё, произрастают на самых северных в мире плантациях. Насаждения адыгейского чая заложены на высоте 350-500 м над уровнем моря и являются самыми высокогорными в России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Адыгейский чай выращивается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почвенно-климатических условиях, отличающихся от основных чаепроизводящих районов нашей планеты. Эти условия определяют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неповторимые органолептические (цвет, вкус, аромат, терпкость и т.д.) и биохимические показатели адыгейского чая, придающие ему неповторимость.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www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instrText xml:space="preserve">HYPERLINK "https://subtropras.ru/adygejskij-filial/" \t "_blank"</w:instrTex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860"/>
                <w:rFonts w:ascii="Times New Roman" w:hAnsi="Times New Roman" w:eastAsia="Times New Roman" w:cs="Times New Roman"/>
                <w:bCs/>
                <w:sz w:val="28"/>
                <w:szCs w:val="28"/>
                <w:shd w:val="clear" w:color="auto" w:fill="ffffff"/>
              </w:rPr>
              <w:t xml:space="preserve">subtropras.ru</w:t>
            </w:r>
            <w:r>
              <w:rPr>
                <w:rStyle w:val="861"/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›</w:t>
            </w:r>
            <w:r>
              <w:rPr>
                <w:rStyle w:val="860"/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adygejskij-filial</w:t>
            </w:r>
            <w:r>
              <w:rPr>
                <w:rStyle w:val="860"/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/</w:t>
            </w:r>
            <w:r>
              <w:rPr>
                <w:rStyle w:val="860"/>
                <w:rFonts w:ascii="Times New Roman" w:hAnsi="Times New Roman" w:eastAsia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«Минеральная вода Майкопская»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«Лимонадная фабрика Майкопская»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ода лечебно-столовая природная, минеральная гидрокарбонатная натриевая газированная, добывается из скважины № 6030 с глубины 572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www.</w:t>
            </w:r>
            <w:hyperlink r:id="rId13" w:tooltip="https://lfmmaikop.ru/" w:history="1">
              <w:r>
                <w:rPr>
                  <w:rStyle w:val="860"/>
                  <w:rFonts w:ascii="Times New Roman" w:hAnsi="Times New Roman" w:eastAsia="Times New Roman" w:cs="Times New Roman"/>
                  <w:bCs/>
                  <w:sz w:val="28"/>
                  <w:szCs w:val="28"/>
                  <w:shd w:val="clear" w:color="auto" w:fill="ffffff"/>
                </w:rPr>
                <w:t xml:space="preserve">lfmmaikop.ru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«Майкопское пиво»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«МПК» Пивзавод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Майкопский»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Майкопское пиво – продукт натурального брожения, без добавления консервантов и добавок, сваренный из ячменного солода и хмеля с использованием чистейшей горной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hyperlink r:id="rId14" w:tooltip="http://www.maykopbeer.ru" w:history="1">
              <w:r>
                <w:rPr>
                  <w:rStyle w:val="860"/>
                  <w:rFonts w:ascii="Times New Roman" w:hAnsi="Times New Roman" w:eastAsia="Times New Roman" w:cs="Times New Roman"/>
                  <w:sz w:val="28"/>
                  <w:szCs w:val="28"/>
                  <w:lang w:val="en-US"/>
                </w:rPr>
                <w:t xml:space="preserve">www.</w:t>
              </w:r>
              <w:r>
                <w:rPr>
                  <w:rStyle w:val="860"/>
                  <w:rFonts w:ascii="Times New Roman" w:hAnsi="Times New Roman" w:eastAsia="Times New Roman" w:cs="Times New Roman"/>
                  <w:bCs/>
                  <w:sz w:val="28"/>
                  <w:szCs w:val="28"/>
                  <w:shd w:val="clear" w:color="auto" w:fill="ffffff"/>
                </w:rPr>
                <w:t xml:space="preserve">maykopbeer.ru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«Майкопская водка»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Майкопская водка 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роизводится на основе ароматного спирта свежих яблок, собранных в садах республики, и ледниковой воды из национального заповедника плато Лаго-Наки, что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позволяет свести к минимуму обработку воды перед производством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придать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вкусу водки неповторимую тонкую свежесть.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70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www.</w:t>
            </w:r>
            <w:hyperlink r:id="rId15" w:tooltip="https://piteyniy.com/?ysclid=mob8pl4od9157917202" w:history="1">
              <w:r>
                <w:rPr>
                  <w:rStyle w:val="860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8"/>
                  <w:szCs w:val="28"/>
                  <w:highlight w:val="white"/>
                  <w:u w:val="none"/>
                </w:rPr>
                <w:t xml:space="preserve">piteyniy.com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«Адыгейская соль»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9191a"/>
                <w:sz w:val="28"/>
                <w:szCs w:val="28"/>
              </w:rPr>
              <w:t xml:space="preserve">Адыгейская соль изготавливается не на простом перемешивании приправ, специй и соли, а на впитывании в кристаллы со</w:t>
            </w:r>
            <w:r>
              <w:rPr>
                <w:rFonts w:ascii="Times New Roman" w:hAnsi="Times New Roman" w:eastAsia="Times New Roman" w:cs="Times New Roman"/>
                <w:color w:val="19191a"/>
                <w:sz w:val="28"/>
                <w:szCs w:val="28"/>
              </w:rPr>
              <w:t xml:space="preserve">ли полезных свойств чеснока, приправ и специй таких, как кориандр, чаман, джата, чабер, укроп, петрушка, красный сладкий перец, черный перец и др. Соль, насыщенная полезными свойствами вышеперечисленных компонентов, глубоко проникает в приготавлива</w:t>
            </w:r>
            <w:r>
              <w:rPr>
                <w:rFonts w:ascii="Times New Roman" w:hAnsi="Times New Roman" w:eastAsia="Times New Roman" w:cs="Times New Roman"/>
                <w:color w:val="19191a"/>
                <w:sz w:val="28"/>
                <w:szCs w:val="28"/>
              </w:rPr>
              <w:t xml:space="preserve">емое блюдо, обогащая его витаминами, придавая восхитительный вкус и приятный аппетитный аромат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www.</w:t>
            </w:r>
            <w:hyperlink r:id="rId16" w:tooltip="https://adygsalt.ru/" w:history="1">
              <w:r>
                <w:rPr>
                  <w:rStyle w:val="860"/>
                  <w:rFonts w:ascii="Times New Roman" w:hAnsi="Times New Roman" w:eastAsia="Times New Roman" w:cs="Times New Roman"/>
                  <w:b w:val="0"/>
                  <w:bCs w:val="0"/>
                  <w:color w:val="006000"/>
                  <w:sz w:val="28"/>
                  <w:szCs w:val="28"/>
                  <w:highlight w:val="white"/>
                  <w:u w:val="none"/>
                </w:rPr>
                <w:t xml:space="preserve">adygsalt.ru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«Лимонад Майкопский»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212121"/>
                <w:sz w:val="28"/>
                <w:szCs w:val="28"/>
              </w:rPr>
              <w:t xml:space="preserve">Главным отличительным компонентом, который определяет качество и вкус майкопского лимонада, является местная горная вода, обладающая уникальными питьевыми свойствами и редким минеральным составом. </w:t>
            </w:r>
            <w:r>
              <w:rPr>
                <w:rFonts w:ascii="Times New Roman" w:hAnsi="Times New Roman" w:eastAsia="Times New Roman" w:cs="Times New Roman"/>
                <w:color w:val="212121"/>
                <w:sz w:val="28"/>
                <w:szCs w:val="28"/>
              </w:rPr>
              <w:t xml:space="preserve">Для производства лимонада</w:t>
            </w:r>
            <w:r>
              <w:rPr>
                <w:rFonts w:ascii="Times New Roman" w:hAnsi="Times New Roman" w:eastAsia="Times New Roman" w:cs="Times New Roman"/>
                <w:color w:val="212121"/>
                <w:sz w:val="28"/>
                <w:szCs w:val="28"/>
              </w:rPr>
              <w:t xml:space="preserve"> используется вода, добываемая из водозабора № 3, который каптирует родник Первый Шумик на 15 км от устья реки Цица. Л</w:t>
            </w:r>
            <w:r>
              <w:rPr>
                <w:rFonts w:ascii="Times New Roman" w:hAnsi="Times New Roman" w:eastAsia="Times New Roman" w:cs="Times New Roman"/>
                <w:color w:val="212121"/>
                <w:sz w:val="28"/>
                <w:szCs w:val="28"/>
              </w:rPr>
              <w:t xml:space="preserve">имонад готовится на основе 100% сахарного сиропа без использования искусственных  подсластителей, в качестве красителя используется тольк</w:t>
            </w:r>
            <w:r>
              <w:rPr>
                <w:rFonts w:ascii="Times New Roman" w:hAnsi="Times New Roman" w:eastAsia="Times New Roman" w:cs="Times New Roman"/>
                <w:color w:val="212121"/>
                <w:sz w:val="28"/>
                <w:szCs w:val="28"/>
              </w:rPr>
              <w:t xml:space="preserve">о натуральный сахарный колер.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www.</w:t>
            </w:r>
            <w:hyperlink r:id="rId17" w:tooltip="https://maykopbeer.ru/products/limonad/?ysclid=mob9abfjg4795369237" w:history="1">
              <w:r>
                <w:rPr>
                  <w:rStyle w:val="860"/>
                  <w:rFonts w:ascii="Times New Roman" w:hAnsi="Times New Roman" w:eastAsia="Times New Roman" w:cs="Times New Roman"/>
                  <w:b w:val="0"/>
                  <w:bCs w:val="0"/>
                  <w:color w:val="006000"/>
                  <w:sz w:val="28"/>
                  <w:szCs w:val="28"/>
                  <w:highlight w:val="white"/>
                  <w:u w:val="none"/>
                </w:rPr>
                <w:t xml:space="preserve">maykopbeer.ru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6834" w:h="11913" w:orient="landscape"/>
      <w:pgMar w:top="1701" w:right="1134" w:bottom="1134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58245205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3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3"/>
    <w:next w:val="853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4"/>
    <w:link w:val="698"/>
    <w:uiPriority w:val="10"/>
    <w:rPr>
      <w:sz w:val="48"/>
      <w:szCs w:val="48"/>
    </w:rPr>
  </w:style>
  <w:style w:type="paragraph" w:styleId="700">
    <w:name w:val="Subtitle"/>
    <w:basedOn w:val="853"/>
    <w:next w:val="853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4"/>
    <w:link w:val="700"/>
    <w:uiPriority w:val="11"/>
    <w:rPr>
      <w:sz w:val="24"/>
      <w:szCs w:val="24"/>
    </w:rPr>
  </w:style>
  <w:style w:type="paragraph" w:styleId="702">
    <w:name w:val="Quote"/>
    <w:basedOn w:val="853"/>
    <w:next w:val="853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3"/>
    <w:next w:val="853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4"/>
    <w:link w:val="857"/>
    <w:uiPriority w:val="99"/>
  </w:style>
  <w:style w:type="paragraph" w:styleId="707">
    <w:name w:val="Footer"/>
    <w:basedOn w:val="853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4"/>
    <w:link w:val="707"/>
    <w:uiPriority w:val="99"/>
  </w:style>
  <w:style w:type="paragraph" w:styleId="709">
    <w:name w:val="Caption"/>
    <w:basedOn w:val="853"/>
    <w:next w:val="853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Header"/>
    <w:basedOn w:val="853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character" w:styleId="858" w:customStyle="1">
    <w:name w:val="Верхний колонтитул Знак"/>
    <w:basedOn w:val="854"/>
    <w:link w:val="857"/>
    <w:uiPriority w:val="99"/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table" w:styleId="859">
    <w:name w:val="Table Grid"/>
    <w:basedOn w:val="855"/>
    <w:uiPriority w:val="59"/>
    <w:pPr>
      <w:spacing w:after="0" w:line="240" w:lineRule="auto"/>
    </w:pPr>
    <w:rPr>
      <w:rFonts w:ascii="Tms Rmn" w:hAnsi="Tms Rmn" w:eastAsia="Times New Roman" w:cs="Times New Roman"/>
      <w:sz w:val="20"/>
      <w:szCs w:val="20"/>
      <w:lang w:eastAsia="ru-RU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0">
    <w:name w:val="Hyperlink"/>
    <w:basedOn w:val="854"/>
    <w:uiPriority w:val="99"/>
    <w:unhideWhenUsed/>
    <w:rPr>
      <w:color w:val="0000ff"/>
      <w:u w:val="single"/>
    </w:rPr>
  </w:style>
  <w:style w:type="character" w:styleId="861" w:customStyle="1">
    <w:name w:val="path-separator"/>
    <w:basedOn w:val="854"/>
  </w:style>
  <w:style w:type="character" w:styleId="862">
    <w:name w:val="Unresolved Mention"/>
    <w:basedOn w:val="854"/>
    <w:uiPriority w:val="99"/>
    <w:semiHidden/>
    <w:unhideWhenUsed/>
    <w:rPr>
      <w:color w:val="605e5c"/>
      <w:shd w:val="clear" w:color="auto" w:fill="e1dfdd"/>
    </w:rPr>
  </w:style>
  <w:style w:type="character" w:styleId="863">
    <w:name w:val="FollowedHyperlink"/>
    <w:basedOn w:val="854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gmz.su/" TargetMode="External"/><Relationship Id="rId10" Type="http://schemas.openxmlformats.org/officeDocument/2006/relationships/hyperlink" Target="https://www.tmbsir.ru/" TargetMode="External"/><Relationship Id="rId11" Type="http://schemas.openxmlformats.org/officeDocument/2006/relationships/hyperlink" Target="https://kmz01.com/" TargetMode="External"/><Relationship Id="rId12" Type="http://schemas.openxmlformats.org/officeDocument/2006/relationships/hyperlink" Target="https://novmz.ru/" TargetMode="External"/><Relationship Id="rId13" Type="http://schemas.openxmlformats.org/officeDocument/2006/relationships/hyperlink" Target="https://lfmmaikop.ru/" TargetMode="External"/><Relationship Id="rId14" Type="http://schemas.openxmlformats.org/officeDocument/2006/relationships/hyperlink" Target="http://www.maykopbeer.ru" TargetMode="External"/><Relationship Id="rId15" Type="http://schemas.openxmlformats.org/officeDocument/2006/relationships/hyperlink" Target="https://piteyniy.com/?ysclid=mob8pl4od9157917202" TargetMode="External"/><Relationship Id="rId16" Type="http://schemas.openxmlformats.org/officeDocument/2006/relationships/hyperlink" Target="https://adygsalt.ru/" TargetMode="External"/><Relationship Id="rId17" Type="http://schemas.openxmlformats.org/officeDocument/2006/relationships/hyperlink" Target="https://maykopbeer.ru/products/limonad/?ysclid=mob9abfjg479536923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 Минэк</dc:creator>
  <cp:keywords/>
  <dc:description/>
  <cp:lastModifiedBy>user</cp:lastModifiedBy>
  <cp:revision>7</cp:revision>
  <dcterms:created xsi:type="dcterms:W3CDTF">2024-05-02T07:17:00Z</dcterms:created>
  <dcterms:modified xsi:type="dcterms:W3CDTF">2026-04-23T14:18:40Z</dcterms:modified>
</cp:coreProperties>
</file>